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342037" w:rsidRDefault="0034203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34203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DIGITALIZACIJA U PROCESIMA DOBROVOLjNOG ZDRAVSTVENOG OSIGURANjA</w:t>
            </w:r>
          </w:p>
          <w:p w:rsidR="00342037" w:rsidRDefault="0034203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 xml:space="preserve"> Od </w:t>
            </w:r>
            <w:r w:rsidR="00665DB4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0</w:t>
            </w:r>
            <w:r w:rsidR="00A51441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6</w:t>
            </w:r>
            <w:r w:rsidR="00C7796E"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.</w:t>
            </w:r>
            <w:r w:rsidR="007038D6"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0</w:t>
            </w:r>
            <w:r w:rsidR="00196CBE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5</w:t>
            </w:r>
            <w:bookmarkStart w:id="0" w:name="_GoBack"/>
            <w:bookmarkEnd w:id="0"/>
            <w:r w:rsidR="00C7796E"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 xml:space="preserve"> - </w:t>
            </w:r>
            <w:r w:rsidR="00A51441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13</w:t>
            </w:r>
            <w:r w:rsidR="00D11601"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.</w:t>
            </w:r>
            <w:r w:rsidR="00821252"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0</w:t>
            </w:r>
            <w:r w:rsidR="00A51441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5</w:t>
            </w:r>
            <w:r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.202</w:t>
            </w:r>
            <w:r w:rsidR="007038D6"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5</w:t>
            </w:r>
            <w:r w:rsidRPr="00342037">
              <w:rPr>
                <w:rFonts w:ascii="Calibri" w:hAnsi="Calibri" w:cs="Calibri"/>
                <w:b/>
                <w:bCs/>
                <w:color w:val="244061" w:themeColor="accent1" w:themeShade="8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Kako je sve počelo?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Počeci i razvoj zdravstvenog osiguranja kroz godine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Kako se razvijalo tržište?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Prva digitalna e-kartica zdravstvenog osiguranja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Elektronska razmena naknada sa zdravstvenim ustanova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Prvi portali za klijente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Zašto se je neophodan kontinuirani razvoj?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Benefiti e-kartice  u procesima zdravstvenog osiguranja,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Elektronska razmena – kako funkcioniše, 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Portali za klijente i ustanove – efikasno, tačno, transparentno korišćenje osiguranja,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Portali za izradu ponuda i polisa – brži korak ka zadovoljnom klijentu i eksternoj distribuciji,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Portali za eksternu distribuciju.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Digitalizacija i tržište zdravstvenog osiguranja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 xml:space="preserve">Pregled digitalnih unapređenja u procesima zdravstvenog osiguranja kod osiguravača 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Generali Osiguranje Srbija, WSO, Uniqa, Globos, DDOR, Dunav, Milenijum, Sava osiguranje</w:t>
            </w:r>
          </w:p>
          <w:p w:rsidR="00342037" w:rsidRPr="00342037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Digitalizacija – važan korak ka poštovanju ESG pravila</w:t>
            </w:r>
          </w:p>
          <w:p w:rsidR="00AB6119" w:rsidRPr="00821252" w:rsidRDefault="00342037" w:rsidP="00342037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</w:t>
            </w:r>
            <w:r w:rsidRPr="00342037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  <w:t>ESG u proizvodima i procesima osiguranja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2037" w:rsidRDefault="00073C60" w:rsidP="00C4028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342037" w:rsidP="00342037">
            <w:pP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  Aleksandra Kočević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A5144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A5144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7038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396F01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6F01" w:rsidRDefault="00396F01">
      <w:r>
        <w:separator/>
      </w:r>
    </w:p>
  </w:endnote>
  <w:endnote w:type="continuationSeparator" w:id="0">
    <w:p w:rsidR="00396F01" w:rsidRDefault="0039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6F01" w:rsidRDefault="00396F01">
      <w:r>
        <w:separator/>
      </w:r>
    </w:p>
  </w:footnote>
  <w:footnote w:type="continuationSeparator" w:id="0">
    <w:p w:rsidR="00396F01" w:rsidRDefault="00396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D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4B5E"/>
    <w:rsid w:val="00155EB4"/>
    <w:rsid w:val="00165907"/>
    <w:rsid w:val="00166B90"/>
    <w:rsid w:val="0017310B"/>
    <w:rsid w:val="0017637A"/>
    <w:rsid w:val="00192098"/>
    <w:rsid w:val="00193A6D"/>
    <w:rsid w:val="00196CBE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D67C5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037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6F01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08D9"/>
    <w:rsid w:val="00601A74"/>
    <w:rsid w:val="00607738"/>
    <w:rsid w:val="00617AB6"/>
    <w:rsid w:val="0062646A"/>
    <w:rsid w:val="0063432C"/>
    <w:rsid w:val="006373C9"/>
    <w:rsid w:val="0064327C"/>
    <w:rsid w:val="00665DB4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38D6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565B8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1876"/>
    <w:rsid w:val="009620CC"/>
    <w:rsid w:val="00964C1E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1441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10370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568E6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0CFEC7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EE324-5CE4-4DB7-B09A-A9158D9A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8</cp:revision>
  <cp:lastPrinted>2022-04-06T12:41:00Z</cp:lastPrinted>
  <dcterms:created xsi:type="dcterms:W3CDTF">2025-03-13T10:49:00Z</dcterms:created>
  <dcterms:modified xsi:type="dcterms:W3CDTF">2025-04-22T06:55:00Z</dcterms:modified>
</cp:coreProperties>
</file>